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 0,4 кВ оп №69 (Л №1 ТП-2 Л Ян-6 ПС 9 Января)» в границах земель и земельных участков: 56:21:0000000:15753 (Оренбургская область, Оренбургский район, Нижнепавловский сельсовет, с. Нижняя Павловка, на земельном участке расположена ВЛ-10-0,4 кВ Ян-6 ПС "9 Января 35/10 кВ"); 56:21:1501005:200 (обл. Оренбургская, р-н Оренбургский, с/с Нижнепавловский, с. Нижняя Павловка, ул. Советская, №70); 56:21:1501005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